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rFonts w:ascii="Calibri" w:cs="Calibri" w:eastAsia="Calibri" w:hAnsi="Calibri"/>
          <w:b/>
          <w:bCs/>
          <w:color w:val="1B3A5C"/>
          <w:sz w:val="52"/>
          <w:szCs w:val="52"/>
        </w:rPr>
        <w:t xml:space="preserve">KANWAR ADIL KHAN</w:t>
      </w:r>
    </w:p>
    <w:p>
      <w:pPr>
        <w:spacing w:after="100" w:before="0"/>
      </w:pPr>
      <w:r>
        <w:rPr>
          <w:rFonts w:ascii="Calibri" w:cs="Calibri" w:eastAsia="Calibri" w:hAnsi="Calibri"/>
          <w:color w:val="2A6496"/>
          <w:sz w:val="24"/>
          <w:szCs w:val="24"/>
        </w:rPr>
        <w:t xml:space="preserve">Senior IT Project Manager  |  Implementation Specialist</w:t>
      </w:r>
    </w:p>
    <w:p>
      <w:pPr>
        <w:pBdr>
          <w:bottom w:val="single" w:color="2A6496" w:sz="6" w:space="6"/>
        </w:pBdr>
        <w:spacing w:after="0" w:before="0"/>
      </w:pPr>
      <w:r>
        <w:rPr>
          <w:rFonts w:ascii="Calibri" w:cs="Calibri" w:eastAsia="Calibri" w:hAnsi="Calibri"/>
          <w:color w:val="888888"/>
          <w:sz w:val="18"/>
          <w:szCs w:val="18"/>
        </w:rPr>
        <w:t xml:space="preserve">kanwaradil94@gmail.com</w:t>
      </w:r>
      <w:r>
        <w:rPr>
          <w:rFonts w:ascii="Calibri" w:cs="Calibri" w:eastAsia="Calibri" w:hAnsi="Calibri"/>
          <w:color w:val="2A6496"/>
          <w:sz w:val="18"/>
          <w:szCs w:val="18"/>
        </w:rPr>
        <w:t xml:space="preserve">   •   </w:t>
      </w:r>
      <w:r>
        <w:rPr>
          <w:rFonts w:ascii="Calibri" w:cs="Calibri" w:eastAsia="Calibri" w:hAnsi="Calibri"/>
          <w:color w:val="888888"/>
          <w:sz w:val="18"/>
          <w:szCs w:val="18"/>
        </w:rPr>
        <w:t xml:space="preserve">+92 307 0225995</w:t>
      </w:r>
      <w:r>
        <w:rPr>
          <w:rFonts w:ascii="Calibri" w:cs="Calibri" w:eastAsia="Calibri" w:hAnsi="Calibri"/>
          <w:color w:val="2A6496"/>
          <w:sz w:val="18"/>
          <w:szCs w:val="18"/>
        </w:rPr>
        <w:t xml:space="preserve">   •   </w:t>
      </w:r>
      <w:r>
        <w:rPr>
          <w:rFonts w:ascii="Calibri" w:cs="Calibri" w:eastAsia="Calibri" w:hAnsi="Calibri"/>
          <w:color w:val="2A6496"/>
          <w:sz w:val="18"/>
          <w:szCs w:val="18"/>
        </w:rPr>
        <w:t xml:space="preserve">linkedin.com/in/kanwar-adil-khan-57521580</w:t>
      </w:r>
      <w:r>
        <w:rPr>
          <w:rFonts w:ascii="Calibri" w:cs="Calibri" w:eastAsia="Calibri" w:hAnsi="Calibri"/>
          <w:color w:val="2A6496"/>
          <w:sz w:val="18"/>
          <w:szCs w:val="18"/>
        </w:rPr>
        <w:t xml:space="preserve">   •   </w:t>
      </w:r>
      <w:r>
        <w:rPr>
          <w:rFonts w:ascii="Calibri" w:cs="Calibri" w:eastAsia="Calibri" w:hAnsi="Calibri"/>
          <w:i/>
          <w:iCs/>
          <w:color w:val="888888"/>
          <w:sz w:val="18"/>
          <w:szCs w:val="18"/>
        </w:rPr>
        <w:t xml:space="preserve">Karachi, Pakistan  |  Open to Remote &amp; Dubai Relocation</w:t>
      </w:r>
    </w:p>
    <w:p>
      <w:pPr>
        <w:spacing w:after="0" w:before="160"/>
      </w:pPr>
    </w:p>
    <w:p>
      <w:pPr>
        <w:pBdr>
          <w:bottom w:val="single" w:color="1B3A5C" w:sz="8" w:space="4"/>
        </w:pBdr>
        <w:spacing w:after="80" w:before="240"/>
      </w:pPr>
      <w:r>
        <w:rPr>
          <w:rFonts w:ascii="Calibri" w:cs="Calibri" w:eastAsia="Calibri" w:hAnsi="Calibri"/>
          <w:b/>
          <w:bCs/>
          <w:color w:val="1B3A5C"/>
          <w:sz w:val="22"/>
          <w:szCs w:val="22"/>
        </w:rPr>
        <w:t xml:space="preserve">PROFESSIONAL SUMMARY</w:t>
      </w:r>
    </w:p>
    <w:p>
      <w:pPr>
        <w:spacing w:after="80" w:before="120"/>
      </w:pPr>
      <w:r>
        <w:rPr>
          <w:rFonts w:ascii="Calibri" w:cs="Calibri" w:eastAsia="Calibri" w:hAnsi="Calibri"/>
          <w:color w:val="1A1A1A"/>
          <w:sz w:val="20"/>
          <w:szCs w:val="20"/>
        </w:rPr>
        <w:t xml:space="preserve">Results-driven IT Project Manager with 6+ years of experience delivering end-to-end software implementations, client onboarding programmes, and data migration projects for international clients across the hospitality, finance, and retail sectors. Proven ability to manage multiple concurrent projects simultaneously while translating complex client requirements into scalable system configurations. Background in accounting and financial systems provides a strong foundation in data structures, GL configuration, and financial reporting. Currently targeting </w:t>
      </w:r>
      <w:r>
        <w:rPr>
          <w:rFonts w:ascii="Calibri" w:cs="Calibri" w:eastAsia="Calibri" w:hAnsi="Calibri"/>
          <w:b/>
          <w:bCs/>
          <w:color w:val="1A1A1A"/>
          <w:sz w:val="20"/>
          <w:szCs w:val="20"/>
        </w:rPr>
        <w:t xml:space="preserve">Senior Project Manager, Implementation Project Manager, or Implementation Specialist</w:t>
      </w:r>
      <w:r>
        <w:rPr>
          <w:rFonts w:ascii="Calibri" w:cs="Calibri" w:eastAsia="Calibri" w:hAnsi="Calibri"/>
          <w:color w:val="1A1A1A"/>
          <w:sz w:val="20"/>
          <w:szCs w:val="20"/>
        </w:rPr>
        <w:t xml:space="preserve"> roles — remote or Dubai-based.</w:t>
      </w:r>
    </w:p>
    <w:p>
      <w:pPr>
        <w:pBdr>
          <w:bottom w:val="single" w:color="1B3A5C" w:sz="8" w:space="4"/>
        </w:pBdr>
        <w:spacing w:after="80" w:before="240"/>
      </w:pPr>
      <w:r>
        <w:rPr>
          <w:rFonts w:ascii="Calibri" w:cs="Calibri" w:eastAsia="Calibri" w:hAnsi="Calibri"/>
          <w:b/>
          <w:bCs/>
          <w:color w:val="1B3A5C"/>
          <w:sz w:val="22"/>
          <w:szCs w:val="22"/>
        </w:rPr>
        <w:t xml:space="preserve">WORK EXPERIENCE</w:t>
      </w:r>
    </w:p>
    <w:p>
      <w:pPr>
        <w:tabs>
          <w:tab w:val="right" w:pos="9746"/>
        </w:tabs>
        <w:spacing w:after="40" w:before="200"/>
      </w:pPr>
      <w:r>
        <w:rPr>
          <w:rFonts w:ascii="Calibri" w:cs="Calibri" w:eastAsia="Calibri" w:hAnsi="Calibri"/>
          <w:b/>
          <w:bCs/>
          <w:color w:val="1A1A1A"/>
          <w:sz w:val="22"/>
          <w:szCs w:val="22"/>
        </w:rPr>
        <w:t xml:space="preserve">IT Project Manager</w:t>
      </w:r>
      <w:r>
        <w:rPr>
          <w:rFonts w:ascii="Calibri" w:cs="Calibri" w:eastAsia="Calibri" w:hAnsi="Calibri"/>
          <w:color w:val="888888"/>
          <w:sz w:val="20"/>
          <w:szCs w:val="20"/>
        </w:rPr>
        <w:t xml:space="preserve">  |  </w:t>
      </w:r>
      <w:r>
        <w:rPr>
          <w:rFonts w:ascii="Calibri" w:cs="Calibri" w:eastAsia="Calibri" w:hAnsi="Calibri"/>
          <w:color w:val="2A6496"/>
          <w:sz w:val="20"/>
          <w:szCs w:val="20"/>
        </w:rPr>
        <w:t xml:space="preserve">Sibisoft Pvt Ltd / Northstar Technologies Inc  •  Karachi</w:t>
      </w:r>
      <w:r>
        <w:rPr>
          <w:rFonts w:ascii="Calibri" w:cs="Calibri" w:eastAsia="Calibri" w:hAnsi="Calibri"/>
          <w:sz w:val="20"/>
          <w:szCs w:val="20"/>
        </w:rPr>
        <w:t xml:space="preserve">	</w:t>
      </w:r>
      <w:r>
        <w:rPr>
          <w:rFonts w:ascii="Calibri" w:cs="Calibri" w:eastAsia="Calibri" w:hAnsi="Calibri"/>
          <w:i/>
          <w:iCs/>
          <w:color w:val="888888"/>
          <w:sz w:val="18"/>
          <w:szCs w:val="18"/>
        </w:rPr>
        <w:t xml:space="preserve">Feb 2019 – Present</w:t>
      </w:r>
    </w:p>
    <w:p>
      <w:pPr>
        <w:spacing w:after="60" w:before="20"/>
      </w:pPr>
      <w:r>
        <w:rPr>
          <w:rFonts w:ascii="Calibri" w:cs="Calibri" w:eastAsia="Calibri" w:hAnsi="Calibri"/>
          <w:i/>
          <w:iCs/>
          <w:color w:val="1A1A1A"/>
          <w:sz w:val="20"/>
          <w:szCs w:val="20"/>
        </w:rPr>
        <w:t xml:space="preserve">Lead the full project lifecycle for enterprise software implementations across international clients in the hospitality, membership, and retail industries.</w:t>
      </w:r>
    </w:p>
    <w:p>
      <w:pPr>
        <w:pStyle w:val="ListParagraph"/>
        <w:numPr>
          <w:ilvl w:val="0"/>
          <w:numId w:val="2"/>
        </w:numPr>
        <w:spacing w:after="40" w:before="40"/>
      </w:pPr>
      <w:r>
        <w:rPr>
          <w:rFonts w:ascii="Calibri" w:cs="Calibri" w:eastAsia="Calibri" w:hAnsi="Calibri"/>
          <w:color w:val="1A1A1A"/>
          <w:sz w:val="20"/>
          <w:szCs w:val="20"/>
        </w:rPr>
        <w:t xml:space="preserve">Managed 5–8 concurrent implementation projects, overseeing planning, scoping, UAT, and post-implementation support from initiation to close.</w:t>
      </w:r>
    </w:p>
    <w:p>
      <w:pPr>
        <w:pStyle w:val="ListParagraph"/>
        <w:numPr>
          <w:ilvl w:val="0"/>
          <w:numId w:val="2"/>
        </w:numPr>
        <w:spacing w:after="40" w:before="40"/>
      </w:pPr>
      <w:r>
        <w:rPr>
          <w:rFonts w:ascii="Calibri" w:cs="Calibri" w:eastAsia="Calibri" w:hAnsi="Calibri"/>
          <w:color w:val="1A1A1A"/>
          <w:sz w:val="20"/>
          <w:szCs w:val="20"/>
        </w:rPr>
        <w:t xml:space="preserve">Developed comprehensive project plans, timelines, RAID logs, and scope documents; maintained delivery cadence across multi-disciplinary teams.</w:t>
      </w:r>
    </w:p>
    <w:p>
      <w:pPr>
        <w:pStyle w:val="ListParagraph"/>
        <w:numPr>
          <w:ilvl w:val="0"/>
          <w:numId w:val="2"/>
        </w:numPr>
        <w:spacing w:after="40" w:before="40"/>
      </w:pPr>
      <w:r>
        <w:rPr>
          <w:rFonts w:ascii="Calibri" w:cs="Calibri" w:eastAsia="Calibri" w:hAnsi="Calibri"/>
          <w:color w:val="1A1A1A"/>
          <w:sz w:val="20"/>
          <w:szCs w:val="20"/>
        </w:rPr>
        <w:t xml:space="preserve">Conducted business requirements workshops with C-level and operational stakeholders, translating needs into system configurations and functional specs.</w:t>
      </w:r>
    </w:p>
    <w:p>
      <w:pPr>
        <w:pStyle w:val="ListParagraph"/>
        <w:numPr>
          <w:ilvl w:val="0"/>
          <w:numId w:val="2"/>
        </w:numPr>
        <w:spacing w:after="40" w:before="40"/>
      </w:pPr>
      <w:r>
        <w:rPr>
          <w:rFonts w:ascii="Calibri" w:cs="Calibri" w:eastAsia="Calibri" w:hAnsi="Calibri"/>
          <w:color w:val="1A1A1A"/>
          <w:sz w:val="20"/>
          <w:szCs w:val="20"/>
        </w:rPr>
        <w:t xml:space="preserve">Led end-to-end data extraction, migration, and cleansing processes during application onboarding, ensuring data integrity across legacy-to-new-system transitions.</w:t>
      </w:r>
    </w:p>
    <w:p>
      <w:pPr>
        <w:pStyle w:val="ListParagraph"/>
        <w:numPr>
          <w:ilvl w:val="0"/>
          <w:numId w:val="2"/>
        </w:numPr>
        <w:spacing w:after="40" w:before="40"/>
      </w:pPr>
      <w:r>
        <w:rPr>
          <w:rFonts w:ascii="Calibri" w:cs="Calibri" w:eastAsia="Calibri" w:hAnsi="Calibri"/>
          <w:color w:val="1A1A1A"/>
          <w:sz w:val="20"/>
          <w:szCs w:val="20"/>
        </w:rPr>
        <w:t xml:space="preserve">Configured enterprise modules including General Ledger, Financial Reporting, Membership Management, POS, Inventory, and Reservation systems.</w:t>
      </w:r>
    </w:p>
    <w:p>
      <w:pPr>
        <w:pStyle w:val="ListParagraph"/>
        <w:numPr>
          <w:ilvl w:val="0"/>
          <w:numId w:val="2"/>
        </w:numPr>
        <w:spacing w:after="40" w:before="40"/>
      </w:pPr>
      <w:r>
        <w:rPr>
          <w:rFonts w:ascii="Calibri" w:cs="Calibri" w:eastAsia="Calibri" w:hAnsi="Calibri"/>
          <w:color w:val="1A1A1A"/>
          <w:sz w:val="20"/>
          <w:szCs w:val="20"/>
        </w:rPr>
        <w:t xml:space="preserve">Coordinated cross-functional delivery teams comprising developers, implementation specialists, and trainers; served as primary escalation point for client-facing issues.</w:t>
      </w:r>
    </w:p>
    <w:p>
      <w:pPr>
        <w:pStyle w:val="ListParagraph"/>
        <w:numPr>
          <w:ilvl w:val="0"/>
          <w:numId w:val="2"/>
        </w:numPr>
        <w:spacing w:after="40" w:before="40"/>
      </w:pPr>
      <w:r>
        <w:rPr>
          <w:rFonts w:ascii="Calibri" w:cs="Calibri" w:eastAsia="Calibri" w:hAnsi="Calibri"/>
          <w:color w:val="1A1A1A"/>
          <w:sz w:val="20"/>
          <w:szCs w:val="20"/>
        </w:rPr>
        <w:t xml:space="preserve">Consulted clients on legacy data restructuring and process re-engineering, improving operational workflows and system adoption post-go-live.</w:t>
      </w:r>
    </w:p>
    <w:p>
      <w:pPr>
        <w:pStyle w:val="ListParagraph"/>
        <w:numPr>
          <w:ilvl w:val="0"/>
          <w:numId w:val="2"/>
        </w:numPr>
        <w:spacing w:after="40" w:before="40"/>
      </w:pPr>
      <w:r>
        <w:rPr>
          <w:rFonts w:ascii="Calibri" w:cs="Calibri" w:eastAsia="Calibri" w:hAnsi="Calibri"/>
          <w:color w:val="1A1A1A"/>
          <w:sz w:val="20"/>
          <w:szCs w:val="20"/>
        </w:rPr>
        <w:t xml:space="preserve">Maintained rigorous project documentation standards and ensured transparent communication between internal teams, vendors, and client stakeholders.</w:t>
      </w:r>
    </w:p>
    <w:p>
      <w:pPr>
        <w:tabs>
          <w:tab w:val="right" w:pos="9746"/>
        </w:tabs>
        <w:spacing w:after="40" w:before="200"/>
      </w:pPr>
      <w:r>
        <w:rPr>
          <w:rFonts w:ascii="Calibri" w:cs="Calibri" w:eastAsia="Calibri" w:hAnsi="Calibri"/>
          <w:b/>
          <w:bCs/>
          <w:color w:val="1A1A1A"/>
          <w:sz w:val="22"/>
          <w:szCs w:val="22"/>
        </w:rPr>
        <w:t xml:space="preserve">Customer Service Specialist</w:t>
      </w:r>
      <w:r>
        <w:rPr>
          <w:rFonts w:ascii="Calibri" w:cs="Calibri" w:eastAsia="Calibri" w:hAnsi="Calibri"/>
          <w:color w:val="888888"/>
          <w:sz w:val="20"/>
          <w:szCs w:val="20"/>
        </w:rPr>
        <w:t xml:space="preserve">  |  </w:t>
      </w:r>
      <w:r>
        <w:rPr>
          <w:rFonts w:ascii="Calibri" w:cs="Calibri" w:eastAsia="Calibri" w:hAnsi="Calibri"/>
          <w:color w:val="2A6496"/>
          <w:sz w:val="20"/>
          <w:szCs w:val="20"/>
        </w:rPr>
        <w:t xml:space="preserve">IBEX Global  •  Karachi</w:t>
      </w:r>
      <w:r>
        <w:rPr>
          <w:rFonts w:ascii="Calibri" w:cs="Calibri" w:eastAsia="Calibri" w:hAnsi="Calibri"/>
          <w:sz w:val="20"/>
          <w:szCs w:val="20"/>
        </w:rPr>
        <w:t xml:space="preserve">	</w:t>
      </w:r>
      <w:r>
        <w:rPr>
          <w:rFonts w:ascii="Calibri" w:cs="Calibri" w:eastAsia="Calibri" w:hAnsi="Calibri"/>
          <w:i/>
          <w:iCs/>
          <w:color w:val="888888"/>
          <w:sz w:val="18"/>
          <w:szCs w:val="18"/>
        </w:rPr>
        <w:t xml:space="preserve">Nov 2017 – Jan 2019</w:t>
      </w:r>
    </w:p>
    <w:p>
      <w:pPr>
        <w:pStyle w:val="ListParagraph"/>
        <w:numPr>
          <w:ilvl w:val="0"/>
          <w:numId w:val="2"/>
        </w:numPr>
        <w:spacing w:after="40" w:before="40"/>
      </w:pPr>
      <w:r>
        <w:rPr>
          <w:rFonts w:ascii="Calibri" w:cs="Calibri" w:eastAsia="Calibri" w:hAnsi="Calibri"/>
          <w:color w:val="1A1A1A"/>
          <w:sz w:val="20"/>
          <w:szCs w:val="20"/>
        </w:rPr>
        <w:t xml:space="preserve">Delivered Level 2 technical troubleshooting via voice, chat, and email for international customers of streaming and internet technology products.</w:t>
      </w:r>
    </w:p>
    <w:p>
      <w:pPr>
        <w:pStyle w:val="ListParagraph"/>
        <w:numPr>
          <w:ilvl w:val="0"/>
          <w:numId w:val="2"/>
        </w:numPr>
        <w:spacing w:after="40" w:before="40"/>
      </w:pPr>
      <w:r>
        <w:rPr>
          <w:rFonts w:ascii="Calibri" w:cs="Calibri" w:eastAsia="Calibri" w:hAnsi="Calibri"/>
          <w:color w:val="1A1A1A"/>
          <w:sz w:val="20"/>
          <w:szCs w:val="20"/>
        </w:rPr>
        <w:t xml:space="preserve">Maintained consistently high customer satisfaction scores; selected for a customer retention pilot programme based on individual performance metrics.</w:t>
      </w:r>
    </w:p>
    <w:p>
      <w:pPr>
        <w:tabs>
          <w:tab w:val="right" w:pos="9746"/>
        </w:tabs>
        <w:spacing w:after="40" w:before="200"/>
      </w:pPr>
      <w:r>
        <w:rPr>
          <w:rFonts w:ascii="Calibri" w:cs="Calibri" w:eastAsia="Calibri" w:hAnsi="Calibri"/>
          <w:b/>
          <w:bCs/>
          <w:color w:val="1A1A1A"/>
          <w:sz w:val="22"/>
          <w:szCs w:val="22"/>
        </w:rPr>
        <w:t xml:space="preserve">Assistant Accountant</w:t>
      </w:r>
      <w:r>
        <w:rPr>
          <w:rFonts w:ascii="Calibri" w:cs="Calibri" w:eastAsia="Calibri" w:hAnsi="Calibri"/>
          <w:color w:val="888888"/>
          <w:sz w:val="20"/>
          <w:szCs w:val="20"/>
        </w:rPr>
        <w:t xml:space="preserve">  |  </w:t>
      </w:r>
      <w:r>
        <w:rPr>
          <w:rFonts w:ascii="Calibri" w:cs="Calibri" w:eastAsia="Calibri" w:hAnsi="Calibri"/>
          <w:color w:val="2A6496"/>
          <w:sz w:val="20"/>
          <w:szCs w:val="20"/>
        </w:rPr>
        <w:t xml:space="preserve">Premier Tubular Inspection Services (Rödl &amp; Partner)  •  Karachi</w:t>
      </w:r>
      <w:r>
        <w:rPr>
          <w:rFonts w:ascii="Calibri" w:cs="Calibri" w:eastAsia="Calibri" w:hAnsi="Calibri"/>
          <w:sz w:val="20"/>
          <w:szCs w:val="20"/>
        </w:rPr>
        <w:t xml:space="preserve">	</w:t>
      </w:r>
      <w:r>
        <w:rPr>
          <w:rFonts w:ascii="Calibri" w:cs="Calibri" w:eastAsia="Calibri" w:hAnsi="Calibri"/>
          <w:i/>
          <w:iCs/>
          <w:color w:val="888888"/>
          <w:sz w:val="18"/>
          <w:szCs w:val="18"/>
        </w:rPr>
        <w:t xml:space="preserve">Nov 2016 – Aug 2017</w:t>
      </w:r>
    </w:p>
    <w:p>
      <w:pPr>
        <w:pStyle w:val="ListParagraph"/>
        <w:numPr>
          <w:ilvl w:val="0"/>
          <w:numId w:val="2"/>
        </w:numPr>
        <w:spacing w:after="40" w:before="40"/>
      </w:pPr>
      <w:r>
        <w:rPr>
          <w:rFonts w:ascii="Calibri" w:cs="Calibri" w:eastAsia="Calibri" w:hAnsi="Calibri"/>
          <w:color w:val="1A1A1A"/>
          <w:sz w:val="20"/>
          <w:szCs w:val="20"/>
        </w:rPr>
        <w:t xml:space="preserve">Maintained bookkeeping records for international clients across UAE, UK, and Germany; prepared monthly, quarterly, and annual financial statements.</w:t>
      </w:r>
    </w:p>
    <w:p>
      <w:pPr>
        <w:pStyle w:val="ListParagraph"/>
        <w:numPr>
          <w:ilvl w:val="0"/>
          <w:numId w:val="2"/>
        </w:numPr>
        <w:spacing w:after="40" w:before="40"/>
      </w:pPr>
      <w:r>
        <w:rPr>
          <w:rFonts w:ascii="Calibri" w:cs="Calibri" w:eastAsia="Calibri" w:hAnsi="Calibri"/>
          <w:color w:val="1A1A1A"/>
          <w:sz w:val="20"/>
          <w:szCs w:val="20"/>
        </w:rPr>
        <w:t xml:space="preserve">Managed inventory records and financial documentation using Xero, Sage, and QuickBooks.</w:t>
      </w:r>
    </w:p>
    <w:p>
      <w:pPr>
        <w:tabs>
          <w:tab w:val="right" w:pos="9746"/>
        </w:tabs>
        <w:spacing w:after="40" w:before="200"/>
      </w:pPr>
      <w:r>
        <w:rPr>
          <w:rFonts w:ascii="Calibri" w:cs="Calibri" w:eastAsia="Calibri" w:hAnsi="Calibri"/>
          <w:b/>
          <w:bCs/>
          <w:color w:val="1A1A1A"/>
          <w:sz w:val="22"/>
          <w:szCs w:val="22"/>
        </w:rPr>
        <w:t xml:space="preserve">Assistant Accountant</w:t>
      </w:r>
      <w:r>
        <w:rPr>
          <w:rFonts w:ascii="Calibri" w:cs="Calibri" w:eastAsia="Calibri" w:hAnsi="Calibri"/>
          <w:color w:val="888888"/>
          <w:sz w:val="20"/>
          <w:szCs w:val="20"/>
        </w:rPr>
        <w:t xml:space="preserve">  |  </w:t>
      </w:r>
      <w:r>
        <w:rPr>
          <w:rFonts w:ascii="Calibri" w:cs="Calibri" w:eastAsia="Calibri" w:hAnsi="Calibri"/>
          <w:color w:val="2A6496"/>
          <w:sz w:val="20"/>
          <w:szCs w:val="20"/>
        </w:rPr>
        <w:t xml:space="preserve">Dairyland Pvt Ltd  •  Karachi</w:t>
      </w:r>
      <w:r>
        <w:rPr>
          <w:rFonts w:ascii="Calibri" w:cs="Calibri" w:eastAsia="Calibri" w:hAnsi="Calibri"/>
          <w:sz w:val="20"/>
          <w:szCs w:val="20"/>
        </w:rPr>
        <w:t xml:space="preserve">	</w:t>
      </w:r>
      <w:r>
        <w:rPr>
          <w:rFonts w:ascii="Calibri" w:cs="Calibri" w:eastAsia="Calibri" w:hAnsi="Calibri"/>
          <w:i/>
          <w:iCs/>
          <w:color w:val="888888"/>
          <w:sz w:val="18"/>
          <w:szCs w:val="18"/>
        </w:rPr>
        <w:t xml:space="preserve">Sep 2015 – Nov 2016</w:t>
      </w:r>
    </w:p>
    <w:p>
      <w:pPr>
        <w:pStyle w:val="ListParagraph"/>
        <w:numPr>
          <w:ilvl w:val="0"/>
          <w:numId w:val="2"/>
        </w:numPr>
        <w:spacing w:after="40" w:before="40"/>
      </w:pPr>
      <w:r>
        <w:rPr>
          <w:rFonts w:ascii="Calibri" w:cs="Calibri" w:eastAsia="Calibri" w:hAnsi="Calibri"/>
          <w:color w:val="1A1A1A"/>
          <w:sz w:val="20"/>
          <w:szCs w:val="20"/>
        </w:rPr>
        <w:t xml:space="preserve">Reconciled bank statements, managed cheque payments and receipt processing, and supported senior accountants with year-end reporting processes.</w:t>
      </w:r>
    </w:p>
    <w:p>
      <w:pPr>
        <w:pBdr>
          <w:bottom w:val="single" w:color="1B3A5C" w:sz="8" w:space="4"/>
        </w:pBdr>
        <w:spacing w:after="80" w:before="240"/>
      </w:pPr>
      <w:r>
        <w:rPr>
          <w:rFonts w:ascii="Calibri" w:cs="Calibri" w:eastAsia="Calibri" w:hAnsi="Calibri"/>
          <w:b/>
          <w:bCs/>
          <w:color w:val="1B3A5C"/>
          <w:sz w:val="22"/>
          <w:szCs w:val="22"/>
        </w:rPr>
        <w:t xml:space="preserve">CORE SKILLS</w:t>
      </w:r>
    </w:p>
    <w:p>
      <w:pPr>
        <w:spacing w:after="60" w:before="100"/>
      </w:pPr>
    </w:p>
    <w:tbl>
      <w:tblPr>
        <w:tblW w:type="dxa" w:w="9746"/>
        <w:tblBorders>
          <w:top w:val="none"/>
          <w:left w:val="none"/>
          <w:bottom w:val="none"/>
          <w:right w:val="none"/>
          <w:insideH w:val="single" w:color="auto" w:sz="4"/>
          <w:insideV w:val="single" w:color="auto" w:sz="4"/>
        </w:tblBorders>
      </w:tblPr>
      <w:tblGrid>
        <w:gridCol w:w="2200"/>
        <w:gridCol w:w="7546"/>
      </w:tblGrid>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Project Management</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Project Planning &amp; Delivery, Scope Management, Risk &amp; Issue Management, RAID Logs, Stakeholder Management, Cross-functional Team Coordination</w:t>
            </w:r>
          </w:p>
        </w:tc>
      </w:tr>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Implementation</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Software Implementation, Client Onboarding, Requirements Gathering, UAT Facilitation, Post-Go-Live Support, Process Optimisation</w:t>
            </w:r>
          </w:p>
        </w:tc>
      </w:tr>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Data &amp; Systems</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Data Migration, Data Cleansing &amp; Transformation, ERP/Enterprise System Configuration, Financial Systems (GL, AP/AR, Reporting), POS &amp; Inventory Systems</w:t>
            </w:r>
          </w:p>
        </w:tc>
      </w:tr>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Financial Tools</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QuickBooks, Xero, Sage, Microsoft Excel (Advanced), Microsoft Office Suite</w:t>
            </w:r>
          </w:p>
        </w:tc>
      </w:tr>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Methodologies</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Agile, Waterfall, Hybrid Delivery Frameworks</w:t>
            </w:r>
          </w:p>
        </w:tc>
      </w:tr>
      <w:tr>
        <w:tc>
          <w:tcPr>
            <w:tcW w:type="dxa" w:w="2200"/>
            <w:tcBorders>
              <w:top w:val="none"/>
              <w:left w:val="none"/>
              <w:bottom w:val="none"/>
              <w:right w:val="none"/>
            </w:tcBorders>
            <w:shd w:fill="F5F7FA" w:val="clear"/>
            <w:tcMar>
              <w:top w:type="dxa" w:w="80"/>
              <w:left w:type="dxa" w:w="120"/>
              <w:bottom w:type="dxa" w:w="80"/>
              <w:right w:type="dxa" w:w="80"/>
            </w:tcMar>
          </w:tcPr>
          <w:p>
            <w:r>
              <w:rPr>
                <w:rFonts w:ascii="Calibri" w:cs="Calibri" w:eastAsia="Calibri" w:hAnsi="Calibri"/>
                <w:b/>
                <w:bCs/>
                <w:color w:val="1B3A5C"/>
                <w:sz w:val="18"/>
                <w:szCs w:val="18"/>
              </w:rPr>
              <w:t xml:space="preserve">Soft Skills</w:t>
            </w:r>
          </w:p>
        </w:tc>
        <w:tc>
          <w:tcPr>
            <w:tcW w:type="dxa" w:w="7546"/>
            <w:tcBorders>
              <w:top w:val="none"/>
              <w:left w:val="none"/>
              <w:bottom w:val="none"/>
              <w:right w:val="none"/>
            </w:tcBorders>
            <w:tcMar>
              <w:top w:type="dxa" w:w="80"/>
              <w:left w:type="dxa" w:w="120"/>
              <w:bottom w:type="dxa" w:w="80"/>
              <w:right w:type="dxa" w:w="80"/>
            </w:tcMar>
          </w:tcPr>
          <w:p>
            <w:r>
              <w:rPr>
                <w:rFonts w:ascii="Calibri" w:cs="Calibri" w:eastAsia="Calibri" w:hAnsi="Calibri"/>
                <w:color w:val="1A1A1A"/>
                <w:sz w:val="18"/>
                <w:szCs w:val="18"/>
              </w:rPr>
              <w:t xml:space="preserve">Client Consulting, Technical Documentation, Training &amp; Change Management, Escalation Handling</w:t>
            </w:r>
          </w:p>
        </w:tc>
      </w:tr>
    </w:tbl>
    <w:p>
      <w:pPr>
        <w:pBdr>
          <w:bottom w:val="single" w:color="1B3A5C" w:sz="8" w:space="4"/>
        </w:pBdr>
        <w:spacing w:after="80" w:before="240"/>
      </w:pPr>
      <w:r>
        <w:rPr>
          <w:rFonts w:ascii="Calibri" w:cs="Calibri" w:eastAsia="Calibri" w:hAnsi="Calibri"/>
          <w:b/>
          <w:bCs/>
          <w:color w:val="1B3A5C"/>
          <w:sz w:val="22"/>
          <w:szCs w:val="22"/>
        </w:rPr>
        <w:t xml:space="preserve">EDUCATION &amp; QUALIFICATIONS</w:t>
      </w:r>
    </w:p>
    <w:p>
      <w:pPr>
        <w:tabs>
          <w:tab w:val="right" w:pos="9746"/>
        </w:tabs>
        <w:spacing w:after="40" w:before="120"/>
      </w:pPr>
      <w:r>
        <w:rPr>
          <w:rFonts w:ascii="Calibri" w:cs="Calibri" w:eastAsia="Calibri" w:hAnsi="Calibri"/>
          <w:b/>
          <w:bCs/>
          <w:color w:val="1A1A1A"/>
          <w:sz w:val="21"/>
          <w:szCs w:val="21"/>
        </w:rPr>
        <w:t xml:space="preserve">ACCA — Part-Qualified</w:t>
      </w:r>
      <w:r>
        <w:rPr>
          <w:rFonts w:ascii="Calibri" w:cs="Calibri" w:eastAsia="Calibri" w:hAnsi="Calibri"/>
          <w:sz w:val="20"/>
          <w:szCs w:val="20"/>
        </w:rPr>
        <w:t xml:space="preserve">	</w:t>
      </w:r>
      <w:r>
        <w:rPr>
          <w:rFonts w:ascii="Calibri" w:cs="Calibri" w:eastAsia="Calibri" w:hAnsi="Calibri"/>
          <w:i/>
          <w:iCs/>
          <w:color w:val="888888"/>
          <w:sz w:val="18"/>
          <w:szCs w:val="18"/>
        </w:rPr>
        <w:t xml:space="preserve">2014</w:t>
      </w:r>
    </w:p>
    <w:p>
      <w:pPr>
        <w:spacing w:after="80" w:before="0"/>
      </w:pPr>
      <w:r>
        <w:rPr>
          <w:rFonts w:ascii="Calibri" w:cs="Calibri" w:eastAsia="Calibri" w:hAnsi="Calibri"/>
          <w:color w:val="888888"/>
          <w:sz w:val="18"/>
          <w:szCs w:val="18"/>
        </w:rPr>
        <w:t xml:space="preserve">Association of Chartered Certified Accountants</w:t>
      </w:r>
    </w:p>
    <w:p>
      <w:pPr>
        <w:pBdr>
          <w:bottom w:val="single" w:color="1B3A5C" w:sz="8" w:space="4"/>
        </w:pBdr>
        <w:spacing w:after="80" w:before="240"/>
      </w:pPr>
      <w:r>
        <w:rPr>
          <w:rFonts w:ascii="Calibri" w:cs="Calibri" w:eastAsia="Calibri" w:hAnsi="Calibri"/>
          <w:b/>
          <w:bCs/>
          <w:color w:val="1B3A5C"/>
          <w:sz w:val="22"/>
          <w:szCs w:val="22"/>
        </w:rPr>
        <w:t xml:space="preserve">LANGUAGES</w:t>
      </w:r>
    </w:p>
    <w:p>
      <w:pPr>
        <w:spacing w:after="40" w:before="120"/>
      </w:pPr>
      <w:r>
        <w:rPr>
          <w:rFonts w:ascii="Calibri" w:cs="Calibri" w:eastAsia="Calibri" w:hAnsi="Calibri"/>
          <w:b/>
          <w:bCs/>
          <w:color w:val="1A1A1A"/>
          <w:sz w:val="20"/>
          <w:szCs w:val="20"/>
        </w:rPr>
        <w:t xml:space="preserve">English</w:t>
      </w:r>
      <w:r>
        <w:rPr>
          <w:rFonts w:ascii="Calibri" w:cs="Calibri" w:eastAsia="Calibri" w:hAnsi="Calibri"/>
          <w:color w:val="1A1A1A"/>
          <w:sz w:val="20"/>
          <w:szCs w:val="20"/>
        </w:rPr>
        <w:t xml:space="preserve"> — Fluent (Professional)</w:t>
      </w:r>
      <w:r>
        <w:rPr>
          <w:rFonts w:ascii="Calibri" w:cs="Calibri" w:eastAsia="Calibri" w:hAnsi="Calibri"/>
          <w:color w:val="888888"/>
          <w:sz w:val="20"/>
          <w:szCs w:val="20"/>
        </w:rPr>
        <w:t xml:space="preserve">     |     </w:t>
      </w:r>
      <w:r>
        <w:rPr>
          <w:rFonts w:ascii="Calibri" w:cs="Calibri" w:eastAsia="Calibri" w:hAnsi="Calibri"/>
          <w:b/>
          <w:bCs/>
          <w:color w:val="1A1A1A"/>
          <w:sz w:val="20"/>
          <w:szCs w:val="20"/>
        </w:rPr>
        <w:t xml:space="preserve">Urdu</w:t>
      </w:r>
      <w:r>
        <w:rPr>
          <w:rFonts w:ascii="Calibri" w:cs="Calibri" w:eastAsia="Calibri" w:hAnsi="Calibri"/>
          <w:color w:val="1A1A1A"/>
          <w:sz w:val="20"/>
          <w:szCs w:val="20"/>
        </w:rPr>
        <w:t xml:space="preserve"> — Native</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2026-03-06T05:08:58.382Z</dcterms:created>
  <dcterms:modified xsi:type="dcterms:W3CDTF">2026-03-06T05:08:58.384Z</dcterms:modified>
</cp:coreProperties>
</file>

<file path=docProps/custom.xml><?xml version="1.0" encoding="utf-8"?>
<Properties xmlns="http://schemas.openxmlformats.org/officeDocument/2006/custom-properties" xmlns:vt="http://schemas.openxmlformats.org/officeDocument/2006/docPropsVTypes"/>
</file>